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45" w:type="dxa"/>
        <w:tblInd w:w="-252" w:type="dxa"/>
        <w:tblLook w:val="01E0" w:firstRow="1" w:lastRow="1" w:firstColumn="1" w:lastColumn="1" w:noHBand="0" w:noVBand="0"/>
      </w:tblPr>
      <w:tblGrid>
        <w:gridCol w:w="2585"/>
        <w:gridCol w:w="8060"/>
      </w:tblGrid>
      <w:tr w:rsidR="00FA2121" w:rsidRPr="00951AAD" w:rsidTr="00D749F7">
        <w:trPr>
          <w:trHeight w:val="1066"/>
        </w:trPr>
        <w:tc>
          <w:tcPr>
            <w:tcW w:w="2585" w:type="dxa"/>
            <w:shd w:val="clear" w:color="auto" w:fill="auto"/>
          </w:tcPr>
          <w:p w:rsidR="00FA2121" w:rsidRPr="00951AAD" w:rsidRDefault="00FA2121" w:rsidP="00D749F7">
            <w:pPr>
              <w:jc w:val="center"/>
              <w:rPr>
                <w:b/>
                <w:szCs w:val="26"/>
              </w:rPr>
            </w:pPr>
            <w:r>
              <w:rPr>
                <w:b/>
                <w:noProof/>
                <w:szCs w:val="26"/>
              </w:rPr>
              <w:drawing>
                <wp:anchor distT="0" distB="0" distL="114935" distR="114935" simplePos="0" relativeHeight="251659264" behindDoc="0" locked="0" layoutInCell="1" allowOverlap="1" wp14:anchorId="0170E649" wp14:editId="633F2854">
                  <wp:simplePos x="0" y="0"/>
                  <wp:positionH relativeFrom="column">
                    <wp:posOffset>-114300</wp:posOffset>
                  </wp:positionH>
                  <wp:positionV relativeFrom="paragraph">
                    <wp:posOffset>0</wp:posOffset>
                  </wp:positionV>
                  <wp:extent cx="1600200" cy="1244600"/>
                  <wp:effectExtent l="19050" t="19050" r="19050" b="1270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2446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ab/>
            </w:r>
          </w:p>
          <w:p w:rsidR="00FA2121" w:rsidRPr="00951AAD" w:rsidRDefault="00FA2121" w:rsidP="00D749F7">
            <w:pPr>
              <w:jc w:val="center"/>
              <w:rPr>
                <w:b/>
                <w:szCs w:val="26"/>
              </w:rPr>
            </w:pPr>
          </w:p>
          <w:p w:rsidR="00FA2121" w:rsidRPr="00951AAD" w:rsidRDefault="00FA2121" w:rsidP="00D749F7">
            <w:pPr>
              <w:jc w:val="center"/>
              <w:rPr>
                <w:b/>
                <w:szCs w:val="26"/>
              </w:rPr>
            </w:pPr>
          </w:p>
          <w:p w:rsidR="00FA2121" w:rsidRPr="00951AAD" w:rsidRDefault="00FA2121" w:rsidP="00D749F7">
            <w:pPr>
              <w:jc w:val="center"/>
              <w:rPr>
                <w:b/>
                <w:szCs w:val="26"/>
              </w:rPr>
            </w:pPr>
          </w:p>
          <w:p w:rsidR="00FA2121" w:rsidRPr="00951AAD" w:rsidRDefault="00FA2121" w:rsidP="00D749F7">
            <w:pPr>
              <w:jc w:val="center"/>
              <w:rPr>
                <w:b/>
                <w:szCs w:val="26"/>
              </w:rPr>
            </w:pPr>
          </w:p>
          <w:p w:rsidR="00FA2121" w:rsidRPr="00951AAD" w:rsidRDefault="00FA2121" w:rsidP="00D749F7">
            <w:pPr>
              <w:jc w:val="center"/>
              <w:rPr>
                <w:b/>
                <w:szCs w:val="26"/>
              </w:rPr>
            </w:pPr>
          </w:p>
          <w:p w:rsidR="00FA2121" w:rsidRPr="00951AAD" w:rsidRDefault="00FA2121" w:rsidP="00D749F7">
            <w:pPr>
              <w:jc w:val="center"/>
              <w:rPr>
                <w:b/>
                <w:szCs w:val="26"/>
              </w:rPr>
            </w:pPr>
          </w:p>
        </w:tc>
        <w:tc>
          <w:tcPr>
            <w:tcW w:w="8060" w:type="dxa"/>
            <w:shd w:val="clear" w:color="auto" w:fill="auto"/>
          </w:tcPr>
          <w:p w:rsidR="00FA2121" w:rsidRPr="00951AAD" w:rsidRDefault="00FA2121" w:rsidP="00D749F7">
            <w:pPr>
              <w:ind w:left="-108"/>
              <w:jc w:val="center"/>
              <w:rPr>
                <w:sz w:val="40"/>
                <w:szCs w:val="40"/>
              </w:rPr>
            </w:pPr>
            <w:r w:rsidRPr="00951AAD">
              <w:rPr>
                <w:sz w:val="40"/>
                <w:szCs w:val="40"/>
              </w:rPr>
              <w:t>Пенсионный фонд Российской Федерации</w:t>
            </w:r>
          </w:p>
          <w:p w:rsidR="00FA2121" w:rsidRDefault="00FA2121" w:rsidP="00D749F7">
            <w:pPr>
              <w:ind w:left="-108"/>
              <w:jc w:val="center"/>
              <w:rPr>
                <w:bCs/>
                <w:sz w:val="44"/>
                <w:szCs w:val="44"/>
              </w:rPr>
            </w:pPr>
            <w:r w:rsidRPr="00951AAD">
              <w:rPr>
                <w:bCs/>
                <w:sz w:val="40"/>
                <w:szCs w:val="40"/>
              </w:rPr>
              <w:t xml:space="preserve">и н ф о </w:t>
            </w:r>
            <w:proofErr w:type="gramStart"/>
            <w:r w:rsidRPr="00951AAD">
              <w:rPr>
                <w:bCs/>
                <w:sz w:val="40"/>
                <w:szCs w:val="40"/>
              </w:rPr>
              <w:t>р</w:t>
            </w:r>
            <w:proofErr w:type="gramEnd"/>
            <w:r w:rsidRPr="00951AAD">
              <w:rPr>
                <w:bCs/>
                <w:sz w:val="40"/>
                <w:szCs w:val="40"/>
              </w:rPr>
              <w:t xml:space="preserve"> м и р у е т</w:t>
            </w:r>
            <w:r w:rsidRPr="00951AAD">
              <w:rPr>
                <w:bCs/>
                <w:sz w:val="44"/>
                <w:szCs w:val="44"/>
              </w:rPr>
              <w:t xml:space="preserve"> </w:t>
            </w:r>
          </w:p>
          <w:p w:rsidR="00FA2121" w:rsidRPr="00A10FD2" w:rsidRDefault="00FA2121" w:rsidP="00D749F7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40"/>
                <w:szCs w:val="40"/>
              </w:rPr>
            </w:pPr>
          </w:p>
        </w:tc>
      </w:tr>
    </w:tbl>
    <w:p w:rsidR="00FA2121" w:rsidRPr="008344F9" w:rsidRDefault="00FA2121" w:rsidP="00FA2121">
      <w:pPr>
        <w:spacing w:line="276" w:lineRule="auto"/>
        <w:jc w:val="center"/>
        <w:rPr>
          <w:b/>
          <w:sz w:val="28"/>
          <w:szCs w:val="28"/>
        </w:rPr>
      </w:pPr>
      <w:r w:rsidRPr="008344F9">
        <w:rPr>
          <w:b/>
          <w:sz w:val="28"/>
          <w:szCs w:val="28"/>
        </w:rPr>
        <w:t>Пенсионный фонд сообща</w:t>
      </w:r>
      <w:r>
        <w:rPr>
          <w:b/>
          <w:sz w:val="28"/>
          <w:szCs w:val="28"/>
        </w:rPr>
        <w:t>ет</w:t>
      </w:r>
      <w:r w:rsidRPr="008344F9">
        <w:rPr>
          <w:b/>
          <w:sz w:val="28"/>
          <w:szCs w:val="28"/>
        </w:rPr>
        <w:t xml:space="preserve"> страхователям о работниках,  имеющих право  на два выходных дня для диспансеризации</w:t>
      </w:r>
    </w:p>
    <w:p w:rsidR="00FA2121" w:rsidRPr="008344F9" w:rsidRDefault="00FA2121" w:rsidP="00FA2121">
      <w:pPr>
        <w:spacing w:line="276" w:lineRule="auto"/>
        <w:jc w:val="both"/>
        <w:rPr>
          <w:sz w:val="28"/>
          <w:szCs w:val="28"/>
        </w:rPr>
      </w:pPr>
    </w:p>
    <w:p w:rsidR="00FA2121" w:rsidRPr="008344F9" w:rsidRDefault="00FA2121" w:rsidP="00FA2121">
      <w:pPr>
        <w:spacing w:line="276" w:lineRule="auto"/>
        <w:ind w:firstLine="567"/>
        <w:jc w:val="both"/>
        <w:rPr>
          <w:sz w:val="28"/>
          <w:szCs w:val="28"/>
        </w:rPr>
      </w:pPr>
      <w:r w:rsidRPr="008344F9">
        <w:rPr>
          <w:sz w:val="28"/>
          <w:szCs w:val="28"/>
        </w:rPr>
        <w:t xml:space="preserve">С 1 января 2019 года </w:t>
      </w:r>
      <w:r>
        <w:rPr>
          <w:sz w:val="28"/>
          <w:szCs w:val="28"/>
        </w:rPr>
        <w:t>вступил</w:t>
      </w:r>
      <w:r w:rsidRPr="008344F9">
        <w:rPr>
          <w:sz w:val="28"/>
          <w:szCs w:val="28"/>
        </w:rPr>
        <w:t xml:space="preserve"> в силу закон о поэтапном повышении пенсионного возраста. Согласно </w:t>
      </w:r>
      <w:r>
        <w:rPr>
          <w:sz w:val="28"/>
          <w:szCs w:val="28"/>
        </w:rPr>
        <w:t>закону</w:t>
      </w:r>
      <w:r w:rsidRPr="008344F9">
        <w:rPr>
          <w:sz w:val="28"/>
          <w:szCs w:val="28"/>
        </w:rPr>
        <w:t>, женщины выход</w:t>
      </w:r>
      <w:r>
        <w:rPr>
          <w:sz w:val="28"/>
          <w:szCs w:val="28"/>
        </w:rPr>
        <w:t>я</w:t>
      </w:r>
      <w:r w:rsidRPr="008344F9">
        <w:rPr>
          <w:sz w:val="28"/>
          <w:szCs w:val="28"/>
        </w:rPr>
        <w:t>т на пенсию в</w:t>
      </w:r>
      <w:r>
        <w:rPr>
          <w:sz w:val="28"/>
          <w:szCs w:val="28"/>
        </w:rPr>
        <w:t xml:space="preserve"> возрасте</w:t>
      </w:r>
      <w:r w:rsidRPr="008344F9">
        <w:rPr>
          <w:sz w:val="28"/>
          <w:szCs w:val="28"/>
        </w:rPr>
        <w:t xml:space="preserve"> 60 лет, мужчины – 65</w:t>
      </w:r>
      <w:r>
        <w:rPr>
          <w:sz w:val="28"/>
          <w:szCs w:val="28"/>
        </w:rPr>
        <w:t xml:space="preserve"> лет.</w:t>
      </w:r>
      <w:r w:rsidRPr="008344F9">
        <w:rPr>
          <w:sz w:val="28"/>
          <w:szCs w:val="28"/>
        </w:rPr>
        <w:t xml:space="preserve"> В связи с этим реализуются нововведения для граждан </w:t>
      </w:r>
      <w:proofErr w:type="spellStart"/>
      <w:r w:rsidRPr="008344F9">
        <w:rPr>
          <w:sz w:val="28"/>
          <w:szCs w:val="28"/>
        </w:rPr>
        <w:t>предпенсионного</w:t>
      </w:r>
      <w:proofErr w:type="spellEnd"/>
      <w:r w:rsidRPr="008344F9">
        <w:rPr>
          <w:sz w:val="28"/>
          <w:szCs w:val="28"/>
        </w:rPr>
        <w:t xml:space="preserve"> возраста - тех, кому до назначения пенсии остаётся</w:t>
      </w:r>
      <w:r>
        <w:rPr>
          <w:sz w:val="28"/>
          <w:szCs w:val="28"/>
        </w:rPr>
        <w:t xml:space="preserve">                       </w:t>
      </w:r>
      <w:r w:rsidRPr="008344F9">
        <w:rPr>
          <w:sz w:val="28"/>
          <w:szCs w:val="28"/>
        </w:rPr>
        <w:t xml:space="preserve"> не более 5 лет. </w:t>
      </w:r>
    </w:p>
    <w:p w:rsidR="00FA2121" w:rsidRDefault="00FA2121" w:rsidP="00FA2121">
      <w:pPr>
        <w:spacing w:line="276" w:lineRule="auto"/>
        <w:ind w:firstLine="567"/>
        <w:jc w:val="both"/>
        <w:rPr>
          <w:sz w:val="28"/>
          <w:szCs w:val="28"/>
        </w:rPr>
      </w:pPr>
      <w:r w:rsidRPr="008344F9">
        <w:rPr>
          <w:sz w:val="28"/>
          <w:szCs w:val="28"/>
        </w:rPr>
        <w:t xml:space="preserve">Для граждан </w:t>
      </w:r>
      <w:proofErr w:type="spellStart"/>
      <w:r w:rsidRPr="008344F9">
        <w:rPr>
          <w:sz w:val="28"/>
          <w:szCs w:val="28"/>
        </w:rPr>
        <w:t>предпенсионного</w:t>
      </w:r>
      <w:proofErr w:type="spellEnd"/>
      <w:r w:rsidRPr="008344F9">
        <w:rPr>
          <w:sz w:val="28"/>
          <w:szCs w:val="28"/>
        </w:rPr>
        <w:t xml:space="preserve"> возраста предусмотрено предоставление двух рабочих дней для прохождения диспансеризации. Диспансеризацию можно будет проходить один раз в год с сохранением места работы  и среднего заработка.</w:t>
      </w:r>
    </w:p>
    <w:p w:rsidR="00FA2121" w:rsidRDefault="00FA2121" w:rsidP="00FA2121">
      <w:pPr>
        <w:spacing w:line="276" w:lineRule="auto"/>
        <w:ind w:firstLine="567"/>
        <w:jc w:val="both"/>
        <w:rPr>
          <w:sz w:val="28"/>
          <w:szCs w:val="28"/>
        </w:rPr>
      </w:pPr>
      <w:r w:rsidRPr="008344F9">
        <w:rPr>
          <w:sz w:val="28"/>
          <w:szCs w:val="28"/>
        </w:rPr>
        <w:t xml:space="preserve">Для получения информации, относится ли работник  к категории граждан </w:t>
      </w:r>
      <w:proofErr w:type="spellStart"/>
      <w:r w:rsidRPr="008344F9">
        <w:rPr>
          <w:sz w:val="28"/>
          <w:szCs w:val="28"/>
        </w:rPr>
        <w:t>предпенсионного</w:t>
      </w:r>
      <w:proofErr w:type="spellEnd"/>
      <w:r w:rsidRPr="008344F9">
        <w:rPr>
          <w:sz w:val="28"/>
          <w:szCs w:val="28"/>
        </w:rPr>
        <w:t xml:space="preserve"> возраста, территориальные органы ПФР </w:t>
      </w:r>
      <w:r>
        <w:rPr>
          <w:sz w:val="28"/>
          <w:szCs w:val="28"/>
        </w:rPr>
        <w:t>п</w:t>
      </w:r>
      <w:r w:rsidRPr="008344F9">
        <w:rPr>
          <w:sz w:val="28"/>
          <w:szCs w:val="28"/>
        </w:rPr>
        <w:t xml:space="preserve">о Тверской области заключают со страхователями соглашения об электронном информационном взаимодействии, которое позволит </w:t>
      </w:r>
      <w:r>
        <w:rPr>
          <w:sz w:val="28"/>
          <w:szCs w:val="28"/>
        </w:rPr>
        <w:t xml:space="preserve">работодателям </w:t>
      </w:r>
      <w:r w:rsidRPr="008344F9">
        <w:rPr>
          <w:sz w:val="28"/>
          <w:szCs w:val="28"/>
        </w:rPr>
        <w:t xml:space="preserve">в короткий срок получать в электронной форме необходимые сведения. </w:t>
      </w:r>
    </w:p>
    <w:p w:rsidR="00FA2121" w:rsidRPr="008344F9" w:rsidRDefault="00FA2121" w:rsidP="00FA212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344F9">
        <w:rPr>
          <w:sz w:val="28"/>
          <w:szCs w:val="28"/>
        </w:rPr>
        <w:t>Такой обмен информацией в рамках защищенного документооборота позволит страхователям соблюдать Трудовой кодекс РФ и действовать в интересах работника с соблюдением условий конфиденциальности и безопасности его персональных данных.</w:t>
      </w:r>
    </w:p>
    <w:p w:rsidR="00FA2121" w:rsidRPr="008344F9" w:rsidRDefault="00FA2121" w:rsidP="00FA2121">
      <w:pPr>
        <w:spacing w:line="276" w:lineRule="auto"/>
        <w:jc w:val="both"/>
        <w:rPr>
          <w:sz w:val="28"/>
          <w:szCs w:val="28"/>
        </w:rPr>
      </w:pPr>
    </w:p>
    <w:p w:rsidR="00FA2121" w:rsidRPr="008344F9" w:rsidRDefault="00FA2121" w:rsidP="00FA2121">
      <w:pPr>
        <w:spacing w:line="276" w:lineRule="auto"/>
        <w:jc w:val="both"/>
        <w:rPr>
          <w:sz w:val="24"/>
        </w:rPr>
      </w:pPr>
      <w:r w:rsidRPr="008344F9">
        <w:rPr>
          <w:sz w:val="24"/>
        </w:rPr>
        <w:t>*В соответствии с частью 11 статьи 10 Федерального закона от 03 октября 2018 года № 350-ФЗ «О внесении изменений в отдельные законодательные акты Российской Федерации по вопросам назначения и выплаты пенсий».</w:t>
      </w:r>
    </w:p>
    <w:p w:rsidR="00FA2121" w:rsidRPr="008344F9" w:rsidRDefault="00FA2121" w:rsidP="00FA2121">
      <w:pPr>
        <w:tabs>
          <w:tab w:val="left" w:pos="1260"/>
        </w:tabs>
        <w:spacing w:line="276" w:lineRule="auto"/>
        <w:jc w:val="both"/>
        <w:rPr>
          <w:sz w:val="28"/>
          <w:szCs w:val="28"/>
        </w:rPr>
      </w:pPr>
      <w:bookmarkStart w:id="0" w:name="_GoBack"/>
      <w:bookmarkEnd w:id="0"/>
    </w:p>
    <w:p w:rsidR="00FA2121" w:rsidRPr="00A10FD2" w:rsidRDefault="00FA2121" w:rsidP="00FA2121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A10FD2">
        <w:rPr>
          <w:sz w:val="28"/>
          <w:szCs w:val="28"/>
        </w:rPr>
        <w:t xml:space="preserve">                                </w:t>
      </w:r>
    </w:p>
    <w:p w:rsidR="00FA2121" w:rsidRPr="00A10FD2" w:rsidRDefault="00FA2121" w:rsidP="00FA2121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A10FD2">
        <w:rPr>
          <w:sz w:val="28"/>
          <w:szCs w:val="28"/>
        </w:rPr>
        <w:t>Государственное учреждение – Управление ПФР</w:t>
      </w:r>
    </w:p>
    <w:p w:rsidR="00FA2121" w:rsidRPr="00A10FD2" w:rsidRDefault="00FA2121" w:rsidP="00FA2121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A10FD2">
        <w:rPr>
          <w:sz w:val="28"/>
          <w:szCs w:val="28"/>
        </w:rPr>
        <w:t xml:space="preserve">в г. Вышнем Волочке и </w:t>
      </w:r>
      <w:proofErr w:type="spellStart"/>
      <w:r w:rsidRPr="00A10FD2">
        <w:rPr>
          <w:sz w:val="28"/>
          <w:szCs w:val="28"/>
        </w:rPr>
        <w:t>Вышневолоцком</w:t>
      </w:r>
      <w:proofErr w:type="spellEnd"/>
      <w:r w:rsidRPr="00A10FD2">
        <w:rPr>
          <w:sz w:val="28"/>
          <w:szCs w:val="28"/>
        </w:rPr>
        <w:t xml:space="preserve"> районе</w:t>
      </w:r>
    </w:p>
    <w:p w:rsidR="00FA2121" w:rsidRDefault="00FA2121" w:rsidP="00FA2121">
      <w:pPr>
        <w:autoSpaceDE w:val="0"/>
        <w:autoSpaceDN w:val="0"/>
        <w:adjustRightInd w:val="0"/>
        <w:ind w:firstLine="720"/>
        <w:jc w:val="right"/>
      </w:pPr>
      <w:r w:rsidRPr="00A10FD2">
        <w:rPr>
          <w:sz w:val="28"/>
          <w:szCs w:val="28"/>
        </w:rPr>
        <w:t xml:space="preserve"> Тверской области (</w:t>
      </w:r>
      <w:proofErr w:type="gramStart"/>
      <w:r w:rsidRPr="00A10FD2">
        <w:rPr>
          <w:sz w:val="28"/>
          <w:szCs w:val="28"/>
        </w:rPr>
        <w:t>межрайонное</w:t>
      </w:r>
      <w:proofErr w:type="gramEnd"/>
      <w:r w:rsidRPr="00A10FD2">
        <w:rPr>
          <w:sz w:val="28"/>
          <w:szCs w:val="28"/>
        </w:rPr>
        <w:t>).</w:t>
      </w:r>
    </w:p>
    <w:p w:rsidR="00FA2121" w:rsidRDefault="00FA2121" w:rsidP="00FA2121"/>
    <w:p w:rsidR="00A65D1D" w:rsidRDefault="00A65D1D"/>
    <w:sectPr w:rsidR="00A65D1D" w:rsidSect="00BC4710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121"/>
    <w:rsid w:val="00A65D1D"/>
    <w:rsid w:val="00FA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121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212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2121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121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212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2121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Воскресенская Г.А,</dc:creator>
  <cp:lastModifiedBy>Воскресенская Г.А,</cp:lastModifiedBy>
  <cp:revision>1</cp:revision>
  <dcterms:created xsi:type="dcterms:W3CDTF">2019-04-25T11:35:00Z</dcterms:created>
  <dcterms:modified xsi:type="dcterms:W3CDTF">2019-04-25T11:40:00Z</dcterms:modified>
</cp:coreProperties>
</file>